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9EC" w:rsidRDefault="000109EC" w:rsidP="000109EC">
      <w:pPr>
        <w:jc w:val="center"/>
        <w:rPr>
          <w:rFonts w:ascii="Arial" w:hAnsi="Arial" w:cs="Arial"/>
          <w:sz w:val="28"/>
          <w:szCs w:val="28"/>
        </w:rPr>
      </w:pPr>
      <w:r>
        <w:rPr>
          <w:rFonts w:ascii="Arial" w:hAnsi="Arial" w:cs="Arial"/>
          <w:sz w:val="28"/>
          <w:szCs w:val="28"/>
        </w:rPr>
        <w:t>République Algérienne Démocratique et Populaire</w:t>
      </w:r>
    </w:p>
    <w:p w:rsidR="000109EC" w:rsidRDefault="000109EC" w:rsidP="000109EC">
      <w:pPr>
        <w:jc w:val="center"/>
        <w:rPr>
          <w:rFonts w:ascii="Arial" w:hAnsi="Arial" w:cs="Arial"/>
          <w:sz w:val="28"/>
          <w:szCs w:val="28"/>
        </w:rPr>
      </w:pPr>
      <w:r>
        <w:rPr>
          <w:rFonts w:ascii="Arial" w:hAnsi="Arial" w:cs="Arial"/>
          <w:sz w:val="28"/>
          <w:szCs w:val="28"/>
        </w:rPr>
        <w:t xml:space="preserve">Ministère de la Poste et des Technologies de l’Information et de la Communication </w:t>
      </w:r>
    </w:p>
    <w:p w:rsidR="000109EC" w:rsidRDefault="000109EC" w:rsidP="000109EC">
      <w:pPr>
        <w:jc w:val="center"/>
        <w:rPr>
          <w:rFonts w:ascii="Arial" w:hAnsi="Arial" w:cs="Arial"/>
          <w:sz w:val="28"/>
          <w:szCs w:val="28"/>
        </w:rPr>
      </w:pPr>
      <w:r>
        <w:rPr>
          <w:rFonts w:ascii="Arial" w:hAnsi="Arial" w:cs="Arial"/>
          <w:sz w:val="28"/>
          <w:szCs w:val="28"/>
        </w:rPr>
        <w:t>Algérie Poste</w:t>
      </w:r>
    </w:p>
    <w:p w:rsidR="000109EC" w:rsidRDefault="000109EC" w:rsidP="000109EC">
      <w:pPr>
        <w:jc w:val="center"/>
        <w:rPr>
          <w:rFonts w:ascii="Arial" w:hAnsi="Arial" w:cs="Arial"/>
          <w:sz w:val="28"/>
          <w:szCs w:val="28"/>
        </w:rPr>
      </w:pPr>
      <w:r>
        <w:rPr>
          <w:rFonts w:ascii="Arial" w:hAnsi="Arial" w:cs="Arial"/>
          <w:sz w:val="28"/>
          <w:szCs w:val="28"/>
        </w:rPr>
        <w:t xml:space="preserve">Ilot n° 04 Zone d’Affaires </w:t>
      </w:r>
      <w:proofErr w:type="spellStart"/>
      <w:r>
        <w:rPr>
          <w:rFonts w:ascii="Arial" w:hAnsi="Arial" w:cs="Arial"/>
          <w:sz w:val="28"/>
          <w:szCs w:val="28"/>
        </w:rPr>
        <w:t>Bab</w:t>
      </w:r>
      <w:proofErr w:type="spellEnd"/>
      <w:r>
        <w:rPr>
          <w:rFonts w:ascii="Arial" w:hAnsi="Arial" w:cs="Arial"/>
          <w:sz w:val="28"/>
          <w:szCs w:val="28"/>
        </w:rPr>
        <w:t>-Ezzouar Alger</w:t>
      </w:r>
    </w:p>
    <w:p w:rsidR="000109EC" w:rsidRDefault="000109EC" w:rsidP="000109EC">
      <w:pPr>
        <w:jc w:val="center"/>
        <w:rPr>
          <w:rFonts w:ascii="Arial" w:hAnsi="Arial" w:cs="Arial"/>
          <w:sz w:val="28"/>
          <w:szCs w:val="28"/>
        </w:rPr>
      </w:pPr>
      <w:r>
        <w:rPr>
          <w:rFonts w:ascii="Arial" w:hAnsi="Arial" w:cs="Arial"/>
          <w:sz w:val="28"/>
          <w:szCs w:val="28"/>
        </w:rPr>
        <w:t>NIF : 0002216002104442</w:t>
      </w:r>
    </w:p>
    <w:p w:rsidR="000109EC" w:rsidRDefault="000109EC" w:rsidP="000109EC">
      <w:pPr>
        <w:jc w:val="center"/>
        <w:rPr>
          <w:rFonts w:ascii="Arial" w:hAnsi="Arial" w:cs="Arial"/>
          <w:sz w:val="28"/>
          <w:szCs w:val="28"/>
        </w:rPr>
      </w:pPr>
      <w:r>
        <w:rPr>
          <w:rFonts w:ascii="Arial" w:hAnsi="Arial" w:cs="Arial"/>
          <w:sz w:val="28"/>
          <w:szCs w:val="28"/>
        </w:rPr>
        <w:t>Avis d’Attribution Provisoire du Marché</w:t>
      </w:r>
    </w:p>
    <w:p w:rsidR="000109EC" w:rsidRDefault="000109EC" w:rsidP="000109EC">
      <w:pPr>
        <w:tabs>
          <w:tab w:val="left" w:pos="435"/>
          <w:tab w:val="center" w:pos="4536"/>
        </w:tabs>
        <w:jc w:val="both"/>
        <w:rPr>
          <w:rFonts w:ascii="Arial" w:hAnsi="Arial" w:cs="Arial"/>
          <w:sz w:val="24"/>
          <w:szCs w:val="24"/>
        </w:rPr>
      </w:pPr>
      <w:r>
        <w:rPr>
          <w:rFonts w:ascii="Arial" w:hAnsi="Arial" w:cs="Arial"/>
          <w:sz w:val="28"/>
          <w:szCs w:val="28"/>
        </w:rPr>
        <w:tab/>
      </w:r>
      <w:proofErr w:type="gramStart"/>
      <w:r>
        <w:rPr>
          <w:rFonts w:ascii="Arial" w:hAnsi="Arial" w:cs="Arial"/>
          <w:sz w:val="24"/>
          <w:szCs w:val="24"/>
        </w:rPr>
        <w:t xml:space="preserve">Conformément aux dispositions des articles 49.114 et 125 du Décret Présidentiel N° 10-236 du 07 octobre 2010, modifié et complété portant réglementation des marchés publics, l’Etablissement Public à Caractère Industrielle et Commercial (EPIC) « Algérie Poste », sis Quartier des Affaires </w:t>
      </w:r>
      <w:proofErr w:type="spellStart"/>
      <w:r>
        <w:rPr>
          <w:rFonts w:ascii="Arial" w:hAnsi="Arial" w:cs="Arial"/>
          <w:sz w:val="24"/>
          <w:szCs w:val="24"/>
        </w:rPr>
        <w:t>Bab</w:t>
      </w:r>
      <w:proofErr w:type="spellEnd"/>
      <w:r>
        <w:rPr>
          <w:rFonts w:ascii="Arial" w:hAnsi="Arial" w:cs="Arial"/>
          <w:sz w:val="24"/>
          <w:szCs w:val="24"/>
        </w:rPr>
        <w:t>-Ezzouar, Alger, informe l’ensemble des soumissionnaires ayant participé à l’</w:t>
      </w:r>
      <w:proofErr w:type="spellStart"/>
      <w:r>
        <w:rPr>
          <w:rFonts w:ascii="Arial" w:hAnsi="Arial" w:cs="Arial"/>
          <w:sz w:val="24"/>
          <w:szCs w:val="24"/>
        </w:rPr>
        <w:t>Appelle</w:t>
      </w:r>
      <w:proofErr w:type="spellEnd"/>
      <w:r>
        <w:rPr>
          <w:rFonts w:ascii="Arial" w:hAnsi="Arial" w:cs="Arial"/>
          <w:sz w:val="24"/>
          <w:szCs w:val="24"/>
        </w:rPr>
        <w:t xml:space="preserve"> d’Offres National  Restreint </w:t>
      </w:r>
      <w:r>
        <w:rPr>
          <w:rFonts w:ascii="Arial" w:hAnsi="Arial" w:cs="Arial"/>
          <w:b/>
          <w:bCs/>
          <w:sz w:val="24"/>
          <w:szCs w:val="24"/>
        </w:rPr>
        <w:t>N°</w:t>
      </w:r>
      <w:bookmarkStart w:id="0" w:name="_GoBack"/>
      <w:r>
        <w:rPr>
          <w:rFonts w:ascii="Arial" w:hAnsi="Arial" w:cs="Arial"/>
          <w:b/>
          <w:bCs/>
          <w:sz w:val="24"/>
          <w:szCs w:val="24"/>
        </w:rPr>
        <w:t>78/DGAP/2015</w:t>
      </w:r>
      <w:bookmarkEnd w:id="0"/>
      <w:r>
        <w:rPr>
          <w:rFonts w:ascii="Arial" w:hAnsi="Arial" w:cs="Arial"/>
          <w:sz w:val="24"/>
          <w:szCs w:val="24"/>
        </w:rPr>
        <w:t xml:space="preserve"> ayant pour objet « </w:t>
      </w:r>
      <w:r>
        <w:rPr>
          <w:rFonts w:ascii="Arial" w:hAnsi="Arial" w:cs="Arial"/>
          <w:b/>
          <w:bCs/>
          <w:sz w:val="24"/>
          <w:szCs w:val="24"/>
        </w:rPr>
        <w:t>Acquisition d’équipements informatiques destinés à l’informatisation de (600) Bureaux de Poste</w:t>
      </w:r>
      <w:r>
        <w:rPr>
          <w:rFonts w:ascii="Arial" w:hAnsi="Arial" w:cs="Arial"/>
          <w:sz w:val="24"/>
          <w:szCs w:val="24"/>
        </w:rPr>
        <w:t xml:space="preserve">», paru dans les quotidiens nationaux le </w:t>
      </w:r>
      <w:r>
        <w:rPr>
          <w:rFonts w:ascii="Arial" w:hAnsi="Arial" w:cs="Arial"/>
          <w:b/>
          <w:bCs/>
          <w:sz w:val="24"/>
          <w:szCs w:val="24"/>
        </w:rPr>
        <w:t>25 Octobre 2015</w:t>
      </w:r>
      <w:r>
        <w:rPr>
          <w:rFonts w:ascii="Arial" w:hAnsi="Arial" w:cs="Arial"/>
          <w:sz w:val="24"/>
          <w:szCs w:val="24"/>
        </w:rPr>
        <w:t xml:space="preserve"> .qu’à l’issue de l’évaluation des offres techniques et financière, les marché par  Lot énuméré est attribués  à titre provisoire à:</w:t>
      </w:r>
      <w:proofErr w:type="gramEnd"/>
      <w:r>
        <w:rPr>
          <w:rFonts w:ascii="Arial" w:hAnsi="Arial" w:cs="Arial"/>
          <w:sz w:val="24"/>
          <w:szCs w:val="24"/>
        </w:rPr>
        <w:t xml:space="preserve"> </w:t>
      </w:r>
    </w:p>
    <w:tbl>
      <w:tblPr>
        <w:tblStyle w:val="Grilledutableau"/>
        <w:tblW w:w="5945" w:type="pct"/>
        <w:tblInd w:w="-856" w:type="dxa"/>
        <w:tblLook w:val="04A0" w:firstRow="1" w:lastRow="0" w:firstColumn="1" w:lastColumn="0" w:noHBand="0" w:noVBand="1"/>
      </w:tblPr>
      <w:tblGrid>
        <w:gridCol w:w="496"/>
        <w:gridCol w:w="1407"/>
        <w:gridCol w:w="1667"/>
        <w:gridCol w:w="1718"/>
        <w:gridCol w:w="1368"/>
        <w:gridCol w:w="957"/>
        <w:gridCol w:w="1067"/>
        <w:gridCol w:w="1067"/>
        <w:gridCol w:w="1028"/>
      </w:tblGrid>
      <w:tr w:rsidR="000109EC" w:rsidTr="000109EC">
        <w:trPr>
          <w:trHeight w:val="495"/>
        </w:trPr>
        <w:tc>
          <w:tcPr>
            <w:tcW w:w="22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09EC" w:rsidRDefault="000109EC" w:rsidP="000109EC">
            <w:pPr>
              <w:rPr>
                <w:rFonts w:ascii="Arial" w:hAnsi="Arial" w:cs="Arial"/>
                <w:b/>
                <w:bCs/>
                <w:sz w:val="18"/>
                <w:szCs w:val="18"/>
              </w:rPr>
            </w:pPr>
          </w:p>
          <w:p w:rsidR="000109EC" w:rsidRDefault="000109EC" w:rsidP="000109EC">
            <w:pPr>
              <w:rPr>
                <w:rFonts w:ascii="Arial" w:hAnsi="Arial" w:cs="Arial"/>
                <w:b/>
                <w:bCs/>
                <w:sz w:val="18"/>
                <w:szCs w:val="18"/>
              </w:rPr>
            </w:pPr>
            <w:r>
              <w:rPr>
                <w:rFonts w:ascii="Arial" w:hAnsi="Arial" w:cs="Arial"/>
                <w:b/>
                <w:bCs/>
                <w:sz w:val="18"/>
                <w:szCs w:val="18"/>
              </w:rPr>
              <w:t>N° Lot</w:t>
            </w:r>
          </w:p>
        </w:tc>
        <w:tc>
          <w:tcPr>
            <w:tcW w:w="61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09EC" w:rsidRDefault="000109EC" w:rsidP="000109EC">
            <w:pPr>
              <w:rPr>
                <w:rFonts w:ascii="Arial" w:hAnsi="Arial" w:cs="Arial"/>
                <w:b/>
                <w:bCs/>
                <w:sz w:val="18"/>
                <w:szCs w:val="18"/>
              </w:rPr>
            </w:pPr>
            <w:r>
              <w:rPr>
                <w:rFonts w:ascii="Arial" w:hAnsi="Arial" w:cs="Arial"/>
                <w:b/>
                <w:bCs/>
                <w:sz w:val="18"/>
                <w:szCs w:val="18"/>
              </w:rPr>
              <w:t>Désignation</w:t>
            </w:r>
          </w:p>
        </w:tc>
        <w:tc>
          <w:tcPr>
            <w:tcW w:w="72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09EC" w:rsidRDefault="000109EC" w:rsidP="000109EC">
            <w:pPr>
              <w:rPr>
                <w:rFonts w:ascii="Arial" w:hAnsi="Arial" w:cs="Arial"/>
                <w:b/>
                <w:bCs/>
                <w:sz w:val="18"/>
                <w:szCs w:val="18"/>
              </w:rPr>
            </w:pPr>
            <w:r>
              <w:rPr>
                <w:rFonts w:ascii="Arial" w:hAnsi="Arial" w:cs="Arial"/>
                <w:b/>
                <w:bCs/>
                <w:sz w:val="18"/>
                <w:szCs w:val="18"/>
              </w:rPr>
              <w:t>Soumissionnaire</w:t>
            </w:r>
          </w:p>
          <w:p w:rsidR="000109EC" w:rsidRDefault="000109EC" w:rsidP="000109EC">
            <w:pPr>
              <w:rPr>
                <w:rFonts w:ascii="Arial" w:hAnsi="Arial" w:cs="Arial"/>
                <w:b/>
                <w:bCs/>
                <w:sz w:val="18"/>
                <w:szCs w:val="18"/>
              </w:rPr>
            </w:pPr>
            <w:r>
              <w:rPr>
                <w:rFonts w:ascii="Arial" w:hAnsi="Arial" w:cs="Arial"/>
                <w:b/>
                <w:bCs/>
                <w:sz w:val="18"/>
                <w:szCs w:val="18"/>
              </w:rPr>
              <w:t>retenu</w:t>
            </w:r>
          </w:p>
        </w:tc>
        <w:tc>
          <w:tcPr>
            <w:tcW w:w="75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09EC" w:rsidRDefault="000109EC" w:rsidP="000109EC">
            <w:pPr>
              <w:rPr>
                <w:rFonts w:ascii="Arial" w:hAnsi="Arial" w:cs="Arial"/>
                <w:sz w:val="18"/>
                <w:szCs w:val="18"/>
              </w:rPr>
            </w:pPr>
            <w:r>
              <w:rPr>
                <w:rFonts w:ascii="Arial" w:hAnsi="Arial" w:cs="Arial"/>
                <w:sz w:val="18"/>
                <w:szCs w:val="18"/>
              </w:rPr>
              <w:t>Numéro</w:t>
            </w:r>
          </w:p>
          <w:p w:rsidR="000109EC" w:rsidRDefault="000109EC" w:rsidP="000109EC">
            <w:pPr>
              <w:rPr>
                <w:rFonts w:ascii="Arial" w:hAnsi="Arial" w:cs="Arial"/>
                <w:sz w:val="18"/>
                <w:szCs w:val="18"/>
              </w:rPr>
            </w:pPr>
            <w:r>
              <w:rPr>
                <w:rFonts w:ascii="Arial" w:hAnsi="Arial" w:cs="Arial"/>
                <w:sz w:val="18"/>
                <w:szCs w:val="18"/>
              </w:rPr>
              <w:t>D’identification</w:t>
            </w:r>
          </w:p>
          <w:p w:rsidR="000109EC" w:rsidRDefault="000109EC" w:rsidP="000109EC">
            <w:pPr>
              <w:rPr>
                <w:rFonts w:ascii="Arial" w:hAnsi="Arial" w:cs="Arial"/>
                <w:sz w:val="18"/>
                <w:szCs w:val="18"/>
              </w:rPr>
            </w:pPr>
            <w:r>
              <w:rPr>
                <w:rFonts w:ascii="Arial" w:hAnsi="Arial" w:cs="Arial"/>
                <w:sz w:val="18"/>
                <w:szCs w:val="18"/>
              </w:rPr>
              <w:t>Fiscale</w:t>
            </w:r>
          </w:p>
          <w:p w:rsidR="000109EC" w:rsidRDefault="000109EC" w:rsidP="000109EC">
            <w:pPr>
              <w:rPr>
                <w:rFonts w:ascii="Arial" w:hAnsi="Arial" w:cs="Arial"/>
                <w:sz w:val="18"/>
                <w:szCs w:val="18"/>
              </w:rPr>
            </w:pPr>
            <w:r>
              <w:rPr>
                <w:rFonts w:ascii="Arial" w:hAnsi="Arial" w:cs="Arial"/>
                <w:sz w:val="18"/>
                <w:szCs w:val="18"/>
              </w:rPr>
              <w:t>(NIF)</w:t>
            </w:r>
          </w:p>
        </w:tc>
        <w:tc>
          <w:tcPr>
            <w:tcW w:w="59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09EC" w:rsidRDefault="000109EC" w:rsidP="000109EC">
            <w:pPr>
              <w:rPr>
                <w:rFonts w:ascii="Arial" w:hAnsi="Arial" w:cs="Arial"/>
                <w:b/>
                <w:bCs/>
                <w:sz w:val="18"/>
                <w:szCs w:val="18"/>
              </w:rPr>
            </w:pPr>
            <w:r>
              <w:rPr>
                <w:rFonts w:ascii="Arial" w:hAnsi="Arial" w:cs="Arial"/>
                <w:b/>
                <w:bCs/>
                <w:sz w:val="18"/>
                <w:szCs w:val="18"/>
              </w:rPr>
              <w:t>Montant de</w:t>
            </w:r>
          </w:p>
          <w:p w:rsidR="000109EC" w:rsidRDefault="000109EC" w:rsidP="000109EC">
            <w:pPr>
              <w:rPr>
                <w:rFonts w:ascii="Arial" w:hAnsi="Arial" w:cs="Arial"/>
                <w:b/>
                <w:bCs/>
                <w:sz w:val="18"/>
                <w:szCs w:val="18"/>
              </w:rPr>
            </w:pPr>
            <w:r>
              <w:rPr>
                <w:rFonts w:ascii="Arial" w:hAnsi="Arial" w:cs="Arial"/>
                <w:b/>
                <w:bCs/>
                <w:sz w:val="18"/>
                <w:szCs w:val="18"/>
              </w:rPr>
              <w:t>L’offre</w:t>
            </w:r>
          </w:p>
          <w:p w:rsidR="000109EC" w:rsidRDefault="000109EC" w:rsidP="000109EC">
            <w:pPr>
              <w:rPr>
                <w:rFonts w:ascii="Arial" w:hAnsi="Arial" w:cs="Arial"/>
                <w:b/>
                <w:bCs/>
                <w:sz w:val="18"/>
                <w:szCs w:val="18"/>
              </w:rPr>
            </w:pPr>
            <w:r>
              <w:rPr>
                <w:rFonts w:ascii="Arial" w:hAnsi="Arial" w:cs="Arial"/>
                <w:b/>
                <w:bCs/>
                <w:sz w:val="18"/>
                <w:szCs w:val="18"/>
              </w:rPr>
              <w:t>DA/TTC</w:t>
            </w:r>
          </w:p>
        </w:tc>
        <w:tc>
          <w:tcPr>
            <w:tcW w:w="42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09EC" w:rsidRDefault="000109EC" w:rsidP="000109EC">
            <w:pPr>
              <w:rPr>
                <w:rFonts w:ascii="Arial" w:hAnsi="Arial" w:cs="Arial"/>
                <w:b/>
                <w:bCs/>
                <w:sz w:val="18"/>
                <w:szCs w:val="18"/>
              </w:rPr>
            </w:pPr>
            <w:r>
              <w:rPr>
                <w:rFonts w:ascii="Arial" w:hAnsi="Arial" w:cs="Arial"/>
                <w:b/>
                <w:bCs/>
                <w:sz w:val="18"/>
                <w:szCs w:val="18"/>
              </w:rPr>
              <w:t>Délai de</w:t>
            </w:r>
          </w:p>
          <w:p w:rsidR="000109EC" w:rsidRDefault="000109EC" w:rsidP="000109EC">
            <w:pPr>
              <w:rPr>
                <w:rFonts w:ascii="Arial" w:hAnsi="Arial" w:cs="Arial"/>
                <w:b/>
                <w:bCs/>
                <w:sz w:val="18"/>
                <w:szCs w:val="18"/>
              </w:rPr>
            </w:pPr>
            <w:r>
              <w:rPr>
                <w:rFonts w:ascii="Arial" w:hAnsi="Arial" w:cs="Arial"/>
                <w:b/>
                <w:bCs/>
                <w:sz w:val="18"/>
                <w:szCs w:val="18"/>
              </w:rPr>
              <w:t>livraison</w:t>
            </w:r>
          </w:p>
        </w:tc>
        <w:tc>
          <w:tcPr>
            <w:tcW w:w="166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09EC" w:rsidRDefault="000109EC" w:rsidP="000109EC">
            <w:pPr>
              <w:rPr>
                <w:rFonts w:ascii="Arial" w:hAnsi="Arial" w:cs="Arial"/>
                <w:b/>
                <w:bCs/>
                <w:sz w:val="18"/>
                <w:szCs w:val="18"/>
              </w:rPr>
            </w:pPr>
            <w:r>
              <w:rPr>
                <w:rFonts w:ascii="Arial" w:hAnsi="Arial" w:cs="Arial"/>
                <w:b/>
                <w:bCs/>
                <w:sz w:val="18"/>
                <w:szCs w:val="18"/>
              </w:rPr>
              <w:t>Note du Soumissionnaire</w:t>
            </w:r>
          </w:p>
        </w:tc>
      </w:tr>
      <w:tr w:rsidR="000109EC" w:rsidTr="000109EC">
        <w:trPr>
          <w:trHeight w:val="713"/>
        </w:trPr>
        <w:tc>
          <w:tcPr>
            <w:tcW w:w="221"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09EC" w:rsidRDefault="000109EC" w:rsidP="000109EC">
            <w:pPr>
              <w:rPr>
                <w:rFonts w:ascii="Arial" w:hAnsi="Arial" w:cs="Arial"/>
                <w:b/>
                <w:bCs/>
                <w:sz w:val="18"/>
                <w:szCs w:val="18"/>
              </w:rPr>
            </w:pPr>
          </w:p>
        </w:tc>
        <w:tc>
          <w:tcPr>
            <w:tcW w:w="61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09EC" w:rsidRDefault="000109EC" w:rsidP="000109EC">
            <w:pPr>
              <w:rPr>
                <w:rFonts w:ascii="Arial" w:hAnsi="Arial" w:cs="Arial"/>
                <w:b/>
                <w:bCs/>
                <w:sz w:val="18"/>
                <w:szCs w:val="18"/>
              </w:rPr>
            </w:pPr>
          </w:p>
        </w:tc>
        <w:tc>
          <w:tcPr>
            <w:tcW w:w="728"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09EC" w:rsidRDefault="000109EC" w:rsidP="000109EC">
            <w:pPr>
              <w:rPr>
                <w:rFonts w:ascii="Arial" w:hAnsi="Arial" w:cs="Arial"/>
                <w:b/>
                <w:bCs/>
                <w:sz w:val="18"/>
                <w:szCs w:val="18"/>
              </w:rPr>
            </w:pPr>
          </w:p>
        </w:tc>
        <w:tc>
          <w:tcPr>
            <w:tcW w:w="750"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09EC" w:rsidRDefault="000109EC" w:rsidP="000109EC">
            <w:pPr>
              <w:rPr>
                <w:rFonts w:ascii="Arial" w:hAnsi="Arial" w:cs="Arial"/>
                <w:sz w:val="18"/>
                <w:szCs w:val="18"/>
              </w:rPr>
            </w:pPr>
          </w:p>
        </w:tc>
        <w:tc>
          <w:tcPr>
            <w:tcW w:w="59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09EC" w:rsidRDefault="000109EC" w:rsidP="000109EC">
            <w:pPr>
              <w:rPr>
                <w:rFonts w:ascii="Arial" w:hAnsi="Arial" w:cs="Arial"/>
                <w:b/>
                <w:bCs/>
                <w:sz w:val="18"/>
                <w:szCs w:val="18"/>
              </w:rPr>
            </w:pPr>
          </w:p>
        </w:tc>
        <w:tc>
          <w:tcPr>
            <w:tcW w:w="421"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09EC" w:rsidRDefault="000109EC" w:rsidP="000109EC">
            <w:pPr>
              <w:rPr>
                <w:rFonts w:ascii="Arial" w:hAnsi="Arial" w:cs="Arial"/>
                <w:b/>
                <w:bCs/>
                <w:sz w:val="18"/>
                <w:szCs w:val="18"/>
              </w:rPr>
            </w:pPr>
          </w:p>
        </w:tc>
        <w:tc>
          <w:tcPr>
            <w:tcW w:w="469" w:type="pct"/>
            <w:tcBorders>
              <w:top w:val="single" w:sz="4" w:space="0" w:color="auto"/>
              <w:left w:val="single" w:sz="4" w:space="0" w:color="000000" w:themeColor="text1"/>
              <w:bottom w:val="single" w:sz="4" w:space="0" w:color="000000" w:themeColor="text1"/>
              <w:right w:val="single" w:sz="4" w:space="0" w:color="auto"/>
            </w:tcBorders>
            <w:vAlign w:val="center"/>
            <w:hideMark/>
          </w:tcPr>
          <w:p w:rsidR="000109EC" w:rsidRDefault="000109EC" w:rsidP="000109EC">
            <w:pPr>
              <w:rPr>
                <w:rFonts w:ascii="Arial" w:hAnsi="Arial" w:cs="Arial"/>
                <w:b/>
                <w:bCs/>
                <w:sz w:val="18"/>
                <w:szCs w:val="18"/>
              </w:rPr>
            </w:pPr>
            <w:r>
              <w:rPr>
                <w:rFonts w:ascii="Arial" w:hAnsi="Arial" w:cs="Arial"/>
                <w:b/>
                <w:bCs/>
                <w:sz w:val="18"/>
                <w:szCs w:val="18"/>
              </w:rPr>
              <w:t>Note</w:t>
            </w:r>
          </w:p>
          <w:p w:rsidR="000109EC" w:rsidRDefault="000109EC" w:rsidP="000109EC">
            <w:pPr>
              <w:rPr>
                <w:rFonts w:ascii="Arial" w:hAnsi="Arial" w:cs="Arial"/>
                <w:b/>
                <w:bCs/>
                <w:sz w:val="18"/>
                <w:szCs w:val="18"/>
              </w:rPr>
            </w:pPr>
            <w:r>
              <w:rPr>
                <w:rFonts w:ascii="Arial" w:hAnsi="Arial" w:cs="Arial"/>
                <w:b/>
                <w:bCs/>
                <w:sz w:val="18"/>
                <w:szCs w:val="18"/>
              </w:rPr>
              <w:t>technique</w:t>
            </w:r>
          </w:p>
        </w:tc>
        <w:tc>
          <w:tcPr>
            <w:tcW w:w="469" w:type="pct"/>
            <w:tcBorders>
              <w:top w:val="single" w:sz="4" w:space="0" w:color="auto"/>
              <w:left w:val="single" w:sz="4" w:space="0" w:color="auto"/>
              <w:bottom w:val="single" w:sz="4" w:space="0" w:color="000000" w:themeColor="text1"/>
              <w:right w:val="single" w:sz="4" w:space="0" w:color="auto"/>
            </w:tcBorders>
            <w:vAlign w:val="center"/>
            <w:hideMark/>
          </w:tcPr>
          <w:p w:rsidR="000109EC" w:rsidRDefault="000109EC" w:rsidP="000109EC">
            <w:pPr>
              <w:rPr>
                <w:rFonts w:ascii="Arial" w:hAnsi="Arial" w:cs="Arial"/>
                <w:b/>
                <w:bCs/>
                <w:sz w:val="18"/>
                <w:szCs w:val="18"/>
              </w:rPr>
            </w:pPr>
            <w:r>
              <w:rPr>
                <w:rFonts w:ascii="Arial" w:hAnsi="Arial" w:cs="Arial"/>
                <w:b/>
                <w:bCs/>
                <w:sz w:val="18"/>
                <w:szCs w:val="18"/>
              </w:rPr>
              <w:t>Note</w:t>
            </w:r>
          </w:p>
          <w:p w:rsidR="000109EC" w:rsidRDefault="000109EC" w:rsidP="000109EC">
            <w:pPr>
              <w:rPr>
                <w:rFonts w:ascii="Arial" w:hAnsi="Arial" w:cs="Arial"/>
                <w:b/>
                <w:bCs/>
                <w:sz w:val="18"/>
                <w:szCs w:val="18"/>
              </w:rPr>
            </w:pPr>
            <w:r>
              <w:rPr>
                <w:rFonts w:ascii="Arial" w:hAnsi="Arial" w:cs="Arial"/>
                <w:b/>
                <w:bCs/>
                <w:sz w:val="18"/>
                <w:szCs w:val="18"/>
              </w:rPr>
              <w:t>financière</w:t>
            </w:r>
          </w:p>
        </w:tc>
        <w:tc>
          <w:tcPr>
            <w:tcW w:w="727" w:type="pct"/>
            <w:tcBorders>
              <w:top w:val="single" w:sz="4" w:space="0" w:color="auto"/>
              <w:left w:val="single" w:sz="4" w:space="0" w:color="auto"/>
              <w:bottom w:val="single" w:sz="4" w:space="0" w:color="000000" w:themeColor="text1"/>
              <w:right w:val="single" w:sz="4" w:space="0" w:color="000000" w:themeColor="text1"/>
            </w:tcBorders>
            <w:vAlign w:val="center"/>
            <w:hideMark/>
          </w:tcPr>
          <w:p w:rsidR="000109EC" w:rsidRDefault="000109EC" w:rsidP="000109EC">
            <w:pPr>
              <w:rPr>
                <w:rFonts w:ascii="Arial" w:hAnsi="Arial" w:cs="Arial"/>
                <w:b/>
                <w:bCs/>
                <w:sz w:val="18"/>
                <w:szCs w:val="18"/>
              </w:rPr>
            </w:pPr>
            <w:r>
              <w:rPr>
                <w:rFonts w:ascii="Arial" w:hAnsi="Arial" w:cs="Arial"/>
                <w:b/>
                <w:bCs/>
                <w:sz w:val="18"/>
                <w:szCs w:val="18"/>
              </w:rPr>
              <w:t>Note</w:t>
            </w:r>
          </w:p>
          <w:p w:rsidR="000109EC" w:rsidRDefault="000109EC" w:rsidP="000109EC">
            <w:pPr>
              <w:rPr>
                <w:rFonts w:ascii="Arial" w:hAnsi="Arial" w:cs="Arial"/>
                <w:b/>
                <w:bCs/>
                <w:sz w:val="18"/>
                <w:szCs w:val="18"/>
              </w:rPr>
            </w:pPr>
            <w:r>
              <w:rPr>
                <w:rFonts w:ascii="Arial" w:hAnsi="Arial" w:cs="Arial"/>
                <w:b/>
                <w:bCs/>
                <w:sz w:val="18"/>
                <w:szCs w:val="18"/>
              </w:rPr>
              <w:t>global</w:t>
            </w:r>
          </w:p>
        </w:tc>
      </w:tr>
      <w:tr w:rsidR="000109EC" w:rsidTr="000109EC">
        <w:trPr>
          <w:trHeight w:val="1170"/>
        </w:trPr>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09EC" w:rsidRDefault="000109EC" w:rsidP="000109EC">
            <w:pPr>
              <w:rPr>
                <w:rFonts w:ascii="Arial" w:hAnsi="Arial" w:cs="Arial"/>
                <w:b/>
                <w:bCs/>
                <w:sz w:val="18"/>
                <w:szCs w:val="18"/>
              </w:rPr>
            </w:pPr>
          </w:p>
          <w:p w:rsidR="000109EC" w:rsidRDefault="000109EC" w:rsidP="000109EC">
            <w:pPr>
              <w:rPr>
                <w:rFonts w:ascii="Arial" w:hAnsi="Arial" w:cs="Arial"/>
                <w:b/>
                <w:bCs/>
                <w:sz w:val="18"/>
                <w:szCs w:val="18"/>
              </w:rPr>
            </w:pPr>
            <w:r>
              <w:rPr>
                <w:rFonts w:ascii="Arial" w:hAnsi="Arial" w:cs="Arial"/>
                <w:b/>
                <w:bCs/>
                <w:sz w:val="18"/>
                <w:szCs w:val="18"/>
              </w:rPr>
              <w:t>Lot 05</w:t>
            </w:r>
          </w:p>
        </w:tc>
        <w:tc>
          <w:tcPr>
            <w:tcW w:w="6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09EC" w:rsidRDefault="000109EC" w:rsidP="000109EC">
            <w:pPr>
              <w:rPr>
                <w:rFonts w:ascii="Arial" w:hAnsi="Arial" w:cs="Arial"/>
                <w:b/>
                <w:bCs/>
                <w:sz w:val="18"/>
                <w:szCs w:val="18"/>
              </w:rPr>
            </w:pPr>
            <w:r>
              <w:rPr>
                <w:rFonts w:ascii="Arial" w:hAnsi="Arial" w:cs="Arial"/>
                <w:b/>
                <w:bCs/>
                <w:sz w:val="18"/>
                <w:szCs w:val="18"/>
              </w:rPr>
              <w:t>Acquisition de</w:t>
            </w:r>
          </w:p>
          <w:p w:rsidR="000109EC" w:rsidRDefault="000109EC" w:rsidP="000109EC">
            <w:pPr>
              <w:rPr>
                <w:rFonts w:ascii="Arial" w:hAnsi="Arial" w:cs="Arial"/>
                <w:b/>
                <w:bCs/>
                <w:sz w:val="18"/>
                <w:szCs w:val="18"/>
              </w:rPr>
            </w:pPr>
            <w:r>
              <w:rPr>
                <w:rFonts w:ascii="Arial" w:hAnsi="Arial" w:cs="Arial"/>
                <w:b/>
                <w:bCs/>
                <w:sz w:val="18"/>
                <w:szCs w:val="18"/>
              </w:rPr>
              <w:t xml:space="preserve">600 Balances </w:t>
            </w:r>
          </w:p>
          <w:p w:rsidR="000109EC" w:rsidRDefault="000109EC" w:rsidP="000109EC">
            <w:pPr>
              <w:rPr>
                <w:rFonts w:ascii="Arial" w:hAnsi="Arial" w:cs="Arial"/>
                <w:b/>
                <w:bCs/>
                <w:sz w:val="18"/>
                <w:szCs w:val="18"/>
              </w:rPr>
            </w:pPr>
            <w:r>
              <w:rPr>
                <w:rFonts w:ascii="Arial" w:hAnsi="Arial" w:cs="Arial"/>
                <w:b/>
                <w:bCs/>
                <w:sz w:val="18"/>
                <w:szCs w:val="18"/>
              </w:rPr>
              <w:t>Electroniques</w:t>
            </w:r>
          </w:p>
        </w:tc>
        <w:tc>
          <w:tcPr>
            <w:tcW w:w="7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09EC" w:rsidRDefault="000109EC" w:rsidP="000109EC">
            <w:pPr>
              <w:rPr>
                <w:rFonts w:ascii="Arial" w:hAnsi="Arial" w:cs="Arial"/>
                <w:b/>
                <w:bCs/>
                <w:sz w:val="18"/>
                <w:szCs w:val="18"/>
              </w:rPr>
            </w:pPr>
            <w:proofErr w:type="gramStart"/>
            <w:r>
              <w:rPr>
                <w:rFonts w:ascii="Arial" w:hAnsi="Arial" w:cs="Arial"/>
                <w:b/>
                <w:bCs/>
                <w:sz w:val="18"/>
                <w:szCs w:val="18"/>
              </w:rPr>
              <w:t>SARL  MMSI</w:t>
            </w:r>
            <w:proofErr w:type="gramEnd"/>
          </w:p>
        </w:tc>
        <w:tc>
          <w:tcPr>
            <w:tcW w:w="7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09EC" w:rsidRDefault="000109EC" w:rsidP="000109EC">
            <w:pPr>
              <w:rPr>
                <w:rFonts w:ascii="Arial" w:hAnsi="Arial" w:cs="Arial"/>
                <w:b/>
                <w:bCs/>
                <w:sz w:val="18"/>
                <w:szCs w:val="18"/>
              </w:rPr>
            </w:pPr>
            <w:r>
              <w:rPr>
                <w:rFonts w:ascii="Arial" w:hAnsi="Arial" w:cs="Arial"/>
                <w:b/>
                <w:bCs/>
                <w:sz w:val="18"/>
                <w:szCs w:val="18"/>
              </w:rPr>
              <w:t>001116098867630</w:t>
            </w:r>
          </w:p>
        </w:tc>
        <w:tc>
          <w:tcPr>
            <w:tcW w:w="5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09EC" w:rsidRDefault="000109EC" w:rsidP="000109EC">
            <w:pPr>
              <w:rPr>
                <w:rFonts w:ascii="Arial" w:hAnsi="Arial" w:cs="Arial"/>
                <w:b/>
                <w:bCs/>
                <w:sz w:val="18"/>
                <w:szCs w:val="18"/>
              </w:rPr>
            </w:pPr>
            <w:r>
              <w:rPr>
                <w:rFonts w:ascii="Arial" w:hAnsi="Arial" w:cs="Arial"/>
                <w:b/>
                <w:bCs/>
                <w:sz w:val="18"/>
                <w:szCs w:val="18"/>
              </w:rPr>
              <w:t>77 669 722,26</w:t>
            </w:r>
          </w:p>
          <w:p w:rsidR="000109EC" w:rsidRDefault="000109EC" w:rsidP="000109EC">
            <w:pPr>
              <w:rPr>
                <w:rFonts w:ascii="Arial" w:hAnsi="Arial" w:cs="Arial"/>
                <w:b/>
                <w:bCs/>
                <w:sz w:val="18"/>
                <w:szCs w:val="18"/>
              </w:rPr>
            </w:pPr>
            <w:r>
              <w:rPr>
                <w:rFonts w:ascii="Arial" w:hAnsi="Arial" w:cs="Arial"/>
                <w:b/>
                <w:bCs/>
                <w:sz w:val="18"/>
                <w:szCs w:val="18"/>
              </w:rPr>
              <w:t>DA/TTC</w:t>
            </w:r>
          </w:p>
        </w:tc>
        <w:tc>
          <w:tcPr>
            <w:tcW w:w="4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09EC" w:rsidRDefault="000109EC" w:rsidP="000109EC">
            <w:pPr>
              <w:rPr>
                <w:rFonts w:ascii="Arial" w:hAnsi="Arial" w:cs="Arial"/>
                <w:b/>
                <w:bCs/>
                <w:sz w:val="18"/>
                <w:szCs w:val="18"/>
              </w:rPr>
            </w:pPr>
            <w:r>
              <w:rPr>
                <w:rFonts w:ascii="Arial" w:hAnsi="Arial" w:cs="Arial"/>
                <w:b/>
                <w:bCs/>
                <w:sz w:val="18"/>
                <w:szCs w:val="18"/>
              </w:rPr>
              <w:t>150 Jours</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09EC" w:rsidRDefault="000109EC" w:rsidP="000109EC">
            <w:pPr>
              <w:rPr>
                <w:rFonts w:ascii="Arial" w:hAnsi="Arial" w:cs="Arial"/>
                <w:b/>
                <w:bCs/>
                <w:sz w:val="18"/>
                <w:szCs w:val="18"/>
              </w:rPr>
            </w:pPr>
            <w:r>
              <w:rPr>
                <w:rFonts w:ascii="Arial" w:hAnsi="Arial" w:cs="Arial"/>
                <w:b/>
                <w:bCs/>
                <w:sz w:val="18"/>
                <w:szCs w:val="18"/>
              </w:rPr>
              <w:t>51,59</w:t>
            </w:r>
          </w:p>
        </w:tc>
        <w:tc>
          <w:tcPr>
            <w:tcW w:w="469"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0109EC" w:rsidRDefault="000109EC" w:rsidP="000109EC">
            <w:pPr>
              <w:rPr>
                <w:rFonts w:ascii="Arial" w:hAnsi="Arial" w:cs="Arial"/>
                <w:b/>
                <w:bCs/>
                <w:sz w:val="18"/>
                <w:szCs w:val="18"/>
              </w:rPr>
            </w:pPr>
            <w:r>
              <w:rPr>
                <w:rFonts w:ascii="Arial" w:hAnsi="Arial" w:cs="Arial"/>
                <w:b/>
                <w:bCs/>
                <w:sz w:val="18"/>
                <w:szCs w:val="18"/>
              </w:rPr>
              <w:t>30</w:t>
            </w:r>
          </w:p>
        </w:tc>
        <w:tc>
          <w:tcPr>
            <w:tcW w:w="7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09EC" w:rsidRDefault="000109EC" w:rsidP="000109EC">
            <w:pPr>
              <w:rPr>
                <w:rFonts w:ascii="Arial" w:hAnsi="Arial" w:cs="Arial"/>
                <w:b/>
                <w:bCs/>
                <w:sz w:val="18"/>
                <w:szCs w:val="18"/>
              </w:rPr>
            </w:pPr>
            <w:r>
              <w:rPr>
                <w:rFonts w:ascii="Arial" w:hAnsi="Arial" w:cs="Arial"/>
                <w:b/>
                <w:bCs/>
                <w:sz w:val="18"/>
                <w:szCs w:val="18"/>
              </w:rPr>
              <w:t>81,59</w:t>
            </w:r>
          </w:p>
        </w:tc>
      </w:tr>
    </w:tbl>
    <w:p w:rsidR="000109EC" w:rsidRDefault="000109EC" w:rsidP="000109EC">
      <w:pPr>
        <w:jc w:val="both"/>
        <w:rPr>
          <w:rFonts w:ascii="Arial" w:hAnsi="Arial" w:cs="Arial"/>
          <w:b/>
          <w:bCs/>
          <w:iCs/>
          <w:color w:val="222A35" w:themeColor="text2" w:themeShade="80"/>
          <w:sz w:val="28"/>
          <w:szCs w:val="28"/>
        </w:rPr>
      </w:pPr>
    </w:p>
    <w:p w:rsidR="000109EC" w:rsidRDefault="000109EC" w:rsidP="000109EC">
      <w:pPr>
        <w:jc w:val="both"/>
        <w:rPr>
          <w:rFonts w:ascii="Arial" w:hAnsi="Arial" w:cs="Arial"/>
          <w:iCs/>
          <w:color w:val="222A35" w:themeColor="text2" w:themeShade="80"/>
          <w:sz w:val="24"/>
          <w:szCs w:val="24"/>
        </w:rPr>
      </w:pPr>
      <w:r>
        <w:rPr>
          <w:rFonts w:ascii="Arial" w:hAnsi="Arial" w:cs="Arial"/>
          <w:iCs/>
          <w:color w:val="222A35" w:themeColor="text2" w:themeShade="80"/>
          <w:sz w:val="24"/>
          <w:szCs w:val="24"/>
        </w:rPr>
        <w:t xml:space="preserve">     Tout soumissionnaire contestant ce choix peut introduire un recours auprès de la commission ministérielle des Marchés Publics auprès du Ministère de la Poste et des Technologies de l’Information et de la Communication dans un délai de </w:t>
      </w:r>
      <w:r>
        <w:rPr>
          <w:rFonts w:ascii="Arial" w:hAnsi="Arial" w:cs="Arial"/>
          <w:b/>
          <w:bCs/>
          <w:iCs/>
          <w:color w:val="222A35" w:themeColor="text2" w:themeShade="80"/>
          <w:sz w:val="24"/>
          <w:szCs w:val="24"/>
        </w:rPr>
        <w:t>Dix (10)</w:t>
      </w:r>
      <w:r>
        <w:rPr>
          <w:rFonts w:ascii="Arial" w:hAnsi="Arial" w:cs="Arial"/>
          <w:iCs/>
          <w:color w:val="222A35" w:themeColor="text2" w:themeShade="80"/>
          <w:sz w:val="24"/>
          <w:szCs w:val="24"/>
        </w:rPr>
        <w:t xml:space="preserve"> jours, à compter de la date de la première parution du présent avis dans la presse</w:t>
      </w:r>
    </w:p>
    <w:p w:rsidR="000109EC" w:rsidRDefault="000109EC" w:rsidP="000109EC">
      <w:pPr>
        <w:jc w:val="both"/>
        <w:rPr>
          <w:rFonts w:ascii="Arial" w:hAnsi="Arial" w:cs="Arial"/>
          <w:iCs/>
          <w:sz w:val="24"/>
          <w:szCs w:val="24"/>
        </w:rPr>
      </w:pPr>
      <w:r>
        <w:rPr>
          <w:rFonts w:ascii="Arial" w:hAnsi="Arial" w:cs="Arial"/>
          <w:iCs/>
          <w:sz w:val="24"/>
          <w:szCs w:val="24"/>
        </w:rPr>
        <w:t>Les soumissionnaires non retenus sont invités à se rapprocher de la Direction Générale d’Algérie Poste, au plus tard trois (03) jours à compter du premier jour de la publication de l’Attribution Provisoire du Marché ; pour prendre connaissance des résultats détaillés de l’évaluation de leurs offres Techniques et Financières.</w:t>
      </w:r>
    </w:p>
    <w:p w:rsidR="004B07E0" w:rsidRDefault="004B07E0"/>
    <w:sectPr w:rsidR="004B07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EC"/>
    <w:rsid w:val="000109EC"/>
    <w:rsid w:val="004B07E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6FFB2-80CC-4FFB-AC1D-4B0BD689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9E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109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1662</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Abdelghani</dc:creator>
  <cp:keywords/>
  <dc:description/>
  <cp:lastModifiedBy>Abdelghani</cp:lastModifiedBy>
  <cp:revision>1</cp:revision>
  <dcterms:created xsi:type="dcterms:W3CDTF">2016-05-11T08:05:00Z</dcterms:created>
  <dcterms:modified xsi:type="dcterms:W3CDTF">2016-05-11T08:08:00Z</dcterms:modified>
</cp:coreProperties>
</file>