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40" w:rsidRDefault="00A96240" w:rsidP="00A96240">
      <w:pPr>
        <w:rPr>
          <w:rFonts w:ascii="Arial" w:hAnsi="Arial" w:cs="Arial"/>
          <w:i/>
          <w:color w:val="262626" w:themeColor="text1" w:themeTint="D9"/>
          <w:sz w:val="28"/>
          <w:szCs w:val="28"/>
        </w:rPr>
      </w:pPr>
    </w:p>
    <w:p w:rsidR="00A96240" w:rsidRDefault="00A96240" w:rsidP="00A9624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République Algérienne Démocratique et Populaire</w:t>
      </w:r>
    </w:p>
    <w:p w:rsidR="00A96240" w:rsidRDefault="00A96240" w:rsidP="00A96240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>
        <w:rPr>
          <w:rFonts w:ascii="Arial" w:hAnsi="Arial" w:cs="Arial"/>
          <w:i/>
          <w:color w:val="262626" w:themeColor="text1" w:themeTint="D9"/>
          <w:sz w:val="28"/>
          <w:szCs w:val="28"/>
        </w:rPr>
        <w:t>Ministère de la Poste et des Technologies de l’Information et de la Communication</w:t>
      </w:r>
    </w:p>
    <w:p w:rsidR="00A96240" w:rsidRDefault="00A96240" w:rsidP="00A96240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>
        <w:rPr>
          <w:rFonts w:ascii="Arial" w:hAnsi="Arial" w:cs="Arial"/>
          <w:i/>
          <w:color w:val="262626" w:themeColor="text1" w:themeTint="D9"/>
          <w:sz w:val="28"/>
          <w:szCs w:val="28"/>
        </w:rPr>
        <w:t>Algérie Poste</w:t>
      </w:r>
    </w:p>
    <w:p w:rsidR="00A96240" w:rsidRDefault="00A96240" w:rsidP="00A96240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>
        <w:rPr>
          <w:rFonts w:ascii="Arial" w:hAnsi="Arial" w:cs="Arial"/>
          <w:i/>
          <w:color w:val="262626" w:themeColor="text1" w:themeTint="D9"/>
          <w:sz w:val="28"/>
          <w:szCs w:val="28"/>
        </w:rPr>
        <w:t>Ilot n° 04 Zone d’Affaires Bab-Ezzouar Alger</w:t>
      </w:r>
    </w:p>
    <w:p w:rsidR="00A96240" w:rsidRDefault="00A96240" w:rsidP="00A96240">
      <w:pPr>
        <w:jc w:val="center"/>
        <w:rPr>
          <w:rFonts w:ascii="Arial" w:hAnsi="Arial" w:cs="Arial"/>
          <w:iCs/>
          <w:color w:val="262626" w:themeColor="text1" w:themeTint="D9"/>
          <w:sz w:val="28"/>
          <w:szCs w:val="28"/>
        </w:rPr>
      </w:pPr>
      <w:r>
        <w:rPr>
          <w:rFonts w:ascii="Arial" w:hAnsi="Arial" w:cs="Arial"/>
          <w:i/>
          <w:color w:val="262626" w:themeColor="text1" w:themeTint="D9"/>
          <w:sz w:val="28"/>
          <w:szCs w:val="28"/>
        </w:rPr>
        <w:t>NIF : 0002216002104442</w:t>
      </w:r>
    </w:p>
    <w:p w:rsidR="00A96240" w:rsidRDefault="00A96240" w:rsidP="00A96240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>
        <w:rPr>
          <w:rFonts w:ascii="Arial" w:hAnsi="Arial" w:cs="Arial"/>
          <w:i/>
          <w:color w:val="262626" w:themeColor="text1" w:themeTint="D9"/>
          <w:sz w:val="28"/>
          <w:szCs w:val="28"/>
        </w:rPr>
        <w:t>Avis d’Attribution Provisoire du Marché</w:t>
      </w:r>
    </w:p>
    <w:p w:rsidR="00A96240" w:rsidRDefault="00A96240" w:rsidP="00A96240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i/>
          <w:iCs/>
          <w:color w:val="262626" w:themeColor="text1" w:themeTint="D9"/>
          <w:sz w:val="24"/>
          <w:szCs w:val="24"/>
        </w:rPr>
      </w:pPr>
      <w:r>
        <w:rPr>
          <w:rFonts w:ascii="Arial" w:hAnsi="Arial" w:cs="Arial"/>
          <w:i/>
          <w:color w:val="262626" w:themeColor="text1" w:themeTint="D9"/>
          <w:sz w:val="24"/>
          <w:szCs w:val="24"/>
        </w:rPr>
        <w:tab/>
        <w:t xml:space="preserve">Conformément aux dispositions de article 26 de la procédure générale de passation des marché, conventions et de bons de commandes, l’Etablissement Public à Caractère Industriel et Commercial (EPIC) « Algérie Poste », sis au Quartier des Affaires Bab-Ezzouar, Alger, informe l’ensemble des soumissionnaires ayant participé à l’Appel d’Offres National   Ouvert  avec exigences de capacités minimales </w:t>
      </w:r>
      <w:r>
        <w:rPr>
          <w:rFonts w:ascii="Arial" w:hAnsi="Arial" w:cs="Arial"/>
          <w:b/>
          <w:bCs/>
          <w:i/>
          <w:color w:val="262626" w:themeColor="text1" w:themeTint="D9"/>
          <w:sz w:val="24"/>
          <w:szCs w:val="24"/>
        </w:rPr>
        <w:t>N°34/DGAP/DPMG/2016</w:t>
      </w:r>
      <w:r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 ayant pour objet «</w:t>
      </w:r>
      <w:r>
        <w:rPr>
          <w:rFonts w:ascii="Arial" w:hAnsi="Arial" w:cs="Arial"/>
          <w:b/>
          <w:i/>
          <w:iCs/>
          <w:color w:val="262626" w:themeColor="text1" w:themeTint="D9"/>
          <w:sz w:val="24"/>
          <w:szCs w:val="24"/>
        </w:rPr>
        <w:t>Prestation d’entretient et nettoyage :</w:t>
      </w:r>
    </w:p>
    <w:p w:rsidR="00A96240" w:rsidRDefault="00A96240" w:rsidP="00A96240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proofErr w:type="gramStart"/>
      <w:r>
        <w:rPr>
          <w:rFonts w:ascii="Arial" w:hAnsi="Arial" w:cs="Arial"/>
          <w:i/>
          <w:color w:val="262626" w:themeColor="text1" w:themeTint="D9"/>
          <w:sz w:val="24"/>
          <w:szCs w:val="24"/>
        </w:rPr>
        <w:t>lot</w:t>
      </w:r>
      <w:proofErr w:type="gramEnd"/>
      <w:r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 N°01 :</w:t>
      </w:r>
      <w:r>
        <w:rPr>
          <w:rFonts w:ascii="Arial" w:hAnsi="Arial" w:cs="Arial"/>
          <w:b/>
          <w:i/>
          <w:color w:val="262626" w:themeColor="text1" w:themeTint="D9"/>
          <w:sz w:val="24"/>
          <w:szCs w:val="24"/>
        </w:rPr>
        <w:t xml:space="preserve"> Siege de la Direction G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énérale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et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i/>
          <w:color w:val="262626" w:themeColor="text1" w:themeTint="D9"/>
          <w:sz w:val="24"/>
          <w:szCs w:val="24"/>
        </w:rPr>
        <w:t>Lot N°02 :</w:t>
      </w:r>
      <w:r>
        <w:rPr>
          <w:rFonts w:ascii="Arial" w:hAnsi="Arial" w:cs="Arial"/>
          <w:b/>
          <w:i/>
          <w:color w:val="262626" w:themeColor="text1" w:themeTint="D9"/>
          <w:sz w:val="24"/>
          <w:szCs w:val="24"/>
        </w:rPr>
        <w:t xml:space="preserve"> Complexe de Birtouta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 paru dans les quotidiens nationaux (El moudjahid et Echaab)  le </w:t>
      </w:r>
      <w:r>
        <w:rPr>
          <w:rFonts w:ascii="Arial" w:hAnsi="Arial" w:cs="Arial"/>
          <w:b/>
          <w:bCs/>
          <w:i/>
          <w:color w:val="262626" w:themeColor="text1" w:themeTint="D9"/>
          <w:sz w:val="24"/>
          <w:szCs w:val="24"/>
        </w:rPr>
        <w:t>07Aout 2016</w:t>
      </w:r>
      <w:r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 qu’à l’issue de l’évaluation des offres techniques et financières, le marché est attribué à titre provisoire à :</w:t>
      </w:r>
    </w:p>
    <w:p w:rsidR="00A96240" w:rsidRDefault="00A96240" w:rsidP="00A96240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</w:p>
    <w:tbl>
      <w:tblPr>
        <w:tblStyle w:val="Grilledutableau"/>
        <w:tblW w:w="10935" w:type="dxa"/>
        <w:tblInd w:w="-1052" w:type="dxa"/>
        <w:tblLayout w:type="fixed"/>
        <w:tblLook w:val="04A0"/>
      </w:tblPr>
      <w:tblGrid>
        <w:gridCol w:w="594"/>
        <w:gridCol w:w="1984"/>
        <w:gridCol w:w="1700"/>
        <w:gridCol w:w="1700"/>
        <w:gridCol w:w="1700"/>
        <w:gridCol w:w="991"/>
        <w:gridCol w:w="1133"/>
        <w:gridCol w:w="1133"/>
      </w:tblGrid>
      <w:tr w:rsidR="00A96240" w:rsidTr="00A96240">
        <w:trPr>
          <w:trHeight w:val="495"/>
        </w:trPr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N° Lot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Désignation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Soumissionnaire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retenu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Numéro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D’identification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Fiscale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(NIF)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Montant de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L’offre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DA/TTC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Délai de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livraison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 du Soumissionnaire</w:t>
            </w:r>
          </w:p>
        </w:tc>
      </w:tr>
      <w:tr w:rsidR="00A96240" w:rsidTr="00A96240">
        <w:trPr>
          <w:trHeight w:val="392"/>
        </w:trPr>
        <w:tc>
          <w:tcPr>
            <w:tcW w:w="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40" w:rsidRDefault="00A96240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Technique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 Financière</w:t>
            </w:r>
          </w:p>
        </w:tc>
      </w:tr>
      <w:tr w:rsidR="00A96240" w:rsidTr="00A9624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Lot 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Entretient et Nettoyage du siège de la Direction Générale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BELKAID SAMIR SERVICES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16560241402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12.074.400,00 DA/TTC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12 Mois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54 points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30 points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A96240" w:rsidTr="00A9624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Lot 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Entretient et Nettoyage du Complexe de Birtouta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BELKAID SAMIR SERVICES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16560241402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8.424.000,00 DA/TTC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12 Mois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54 points</w:t>
            </w:r>
          </w:p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240" w:rsidRDefault="00A96240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30 points</w:t>
            </w:r>
          </w:p>
        </w:tc>
      </w:tr>
    </w:tbl>
    <w:p w:rsidR="00A96240" w:rsidRDefault="00A96240" w:rsidP="00A96240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4"/>
          <w:szCs w:val="24"/>
          <w:lang w:eastAsia="en-US"/>
        </w:rPr>
      </w:pP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 </w:t>
      </w:r>
    </w:p>
    <w:p w:rsidR="00A96240" w:rsidRDefault="00A96240" w:rsidP="00A96240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</w:p>
    <w:p w:rsidR="00A96240" w:rsidRDefault="00A96240" w:rsidP="00A96240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</w:p>
    <w:p w:rsidR="00A96240" w:rsidRDefault="00A96240" w:rsidP="00A96240">
      <w:pPr>
        <w:spacing w:after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  Tout soumissionnaire contestant ce choix peut introduire un recours auprès</w:t>
      </w:r>
      <w:r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d’EPIC </w:t>
      </w:r>
      <w:r>
        <w:rPr>
          <w:rFonts w:ascii="Arial" w:hAnsi="Arial" w:cs="Arial"/>
          <w:bCs/>
          <w:i/>
          <w:color w:val="262626" w:themeColor="text1" w:themeTint="D9"/>
          <w:sz w:val="24"/>
          <w:szCs w:val="24"/>
        </w:rPr>
        <w:t xml:space="preserve">Algérie Poste </w:t>
      </w:r>
      <w:r>
        <w:rPr>
          <w:rFonts w:ascii="Arial" w:hAnsi="Arial" w:cs="Arial"/>
          <w:bCs/>
          <w:i/>
          <w:color w:val="262626" w:themeColor="text1" w:themeTint="D9"/>
          <w:sz w:val="24"/>
          <w:szCs w:val="24"/>
          <w:lang w:val="it-IT"/>
        </w:rPr>
        <w:t>Ilot n°01 parcelle n° 04 Zone d’Affaires Bab Ezouar Alger, dans</w:t>
      </w: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un </w:t>
      </w: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lastRenderedPageBreak/>
        <w:t xml:space="preserve">délai de </w:t>
      </w:r>
      <w:r>
        <w:rPr>
          <w:rFonts w:ascii="Arial" w:hAnsi="Arial" w:cs="Arial"/>
          <w:b/>
          <w:bCs/>
          <w:i/>
          <w:iCs/>
          <w:color w:val="262626" w:themeColor="text1" w:themeTint="D9"/>
          <w:sz w:val="24"/>
          <w:szCs w:val="24"/>
        </w:rPr>
        <w:t>Dix(10)</w:t>
      </w: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jours. </w:t>
      </w:r>
      <w:proofErr w:type="gramStart"/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à</w:t>
      </w:r>
      <w:proofErr w:type="gramEnd"/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compter de la première publication de l’avis d’attribution provisoire du marché dans la presse ou le site web d’Algérie Poste. Conformément aux dispositions de l’article 35 du cahier des charges.</w:t>
      </w:r>
    </w:p>
    <w:p w:rsidR="00A96240" w:rsidRDefault="00A96240" w:rsidP="00A96240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A96240" w:rsidRDefault="00A96240" w:rsidP="00A962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A96240" w:rsidRDefault="00A96240" w:rsidP="00A96240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A96240" w:rsidRDefault="00A96240" w:rsidP="00A96240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A96240" w:rsidRDefault="00A96240" w:rsidP="00A96240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A96240" w:rsidRDefault="00A96240" w:rsidP="00A96240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A96240" w:rsidRDefault="00A96240" w:rsidP="00A96240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A96240" w:rsidRDefault="00A96240" w:rsidP="00A96240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A96240" w:rsidRDefault="00A96240" w:rsidP="00A96240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053C8B" w:rsidRPr="00124786" w:rsidRDefault="00053C8B" w:rsidP="003748EA">
      <w:pPr>
        <w:jc w:val="both"/>
        <w:rPr>
          <w:rFonts w:ascii="Times New Roman" w:hAnsi="Times New Roman" w:cs="Times New Roman"/>
        </w:rPr>
      </w:pPr>
    </w:p>
    <w:sectPr w:rsidR="00053C8B" w:rsidRPr="00124786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B4644"/>
    <w:rsid w:val="00124786"/>
    <w:rsid w:val="00127E60"/>
    <w:rsid w:val="00177863"/>
    <w:rsid w:val="00182CDE"/>
    <w:rsid w:val="002B705A"/>
    <w:rsid w:val="00300389"/>
    <w:rsid w:val="003365FC"/>
    <w:rsid w:val="003748EA"/>
    <w:rsid w:val="003C1DDC"/>
    <w:rsid w:val="004841B9"/>
    <w:rsid w:val="00513270"/>
    <w:rsid w:val="005318D9"/>
    <w:rsid w:val="006A7B6C"/>
    <w:rsid w:val="007C7D67"/>
    <w:rsid w:val="0080260D"/>
    <w:rsid w:val="009422BA"/>
    <w:rsid w:val="009F1837"/>
    <w:rsid w:val="00A00A3B"/>
    <w:rsid w:val="00A273D2"/>
    <w:rsid w:val="00A65742"/>
    <w:rsid w:val="00A96240"/>
    <w:rsid w:val="00B31AE1"/>
    <w:rsid w:val="00E80ACE"/>
    <w:rsid w:val="00E86BDF"/>
    <w:rsid w:val="00EF2AAC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20</cp:revision>
  <cp:lastPrinted>2016-07-31T08:03:00Z</cp:lastPrinted>
  <dcterms:created xsi:type="dcterms:W3CDTF">2016-06-01T08:51:00Z</dcterms:created>
  <dcterms:modified xsi:type="dcterms:W3CDTF">2016-10-06T08:30:00Z</dcterms:modified>
</cp:coreProperties>
</file>